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EF73D" w14:textId="65B983D2" w:rsidR="00113691" w:rsidRPr="00113691" w:rsidRDefault="00505127" w:rsidP="00113691">
      <w:pPr>
        <w:pStyle w:val="NormalWeb"/>
        <w:jc w:val="center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LA DIRECCIÓN GENERAL DE ACUICULTURA</w:t>
      </w:r>
      <w:r w:rsidR="00113691" w:rsidRPr="00113691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 MONITOREA LA SIEMBRA DE ALEVINOS EN LA REPRESA PALLCCA PARA FOMENTAR EL DESARROLLO DE LA ACUICULTURA</w:t>
      </w:r>
    </w:p>
    <w:p w14:paraId="5EA335DB" w14:textId="32C80FA4" w:rsidR="005C0DEA" w:rsidRDefault="005C0DEA" w:rsidP="005C0DEA">
      <w:pPr>
        <w:pStyle w:val="NormalWeb"/>
        <w:jc w:val="center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>
        <w:rPr>
          <w:noProof/>
        </w:rPr>
        <w:drawing>
          <wp:inline distT="0" distB="0" distL="0" distR="0" wp14:anchorId="3937102B" wp14:editId="471EB0A8">
            <wp:extent cx="2458538" cy="1844040"/>
            <wp:effectExtent l="0" t="0" r="0" b="3810"/>
            <wp:docPr id="8200022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034" cy="1847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    </w:t>
      </w:r>
      <w:r>
        <w:rPr>
          <w:noProof/>
        </w:rPr>
        <w:drawing>
          <wp:inline distT="0" distB="0" distL="0" distR="0" wp14:anchorId="5DC0170A" wp14:editId="400CD39B">
            <wp:extent cx="2779029" cy="1851660"/>
            <wp:effectExtent l="0" t="0" r="2540" b="0"/>
            <wp:docPr id="2019932593" name="Imagen 2" descr="Un grupo de personas en una balsa en el agu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932593" name="Imagen 2" descr="Un grupo de personas en una balsa en el agu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420" cy="185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FAA8B" w14:textId="779307E8" w:rsidR="00113691" w:rsidRPr="00113691" w:rsidRDefault="00113691" w:rsidP="00113691">
      <w:pPr>
        <w:pStyle w:val="NormalWeb"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11369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12 de marzo de 2025</w:t>
      </w:r>
    </w:p>
    <w:p w14:paraId="394B6178" w14:textId="2D76C205" w:rsidR="00113691" w:rsidRPr="00113691" w:rsidRDefault="00113691" w:rsidP="001D6E28">
      <w:pPr>
        <w:pStyle w:val="NormalWeb"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11369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En diciembre de 2024, PRODUCE, con la presencia del </w:t>
      </w:r>
      <w:proofErr w:type="gramStart"/>
      <w:r w:rsidRPr="0011369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Ministro</w:t>
      </w:r>
      <w:proofErr w:type="gramEnd"/>
      <w:r w:rsidR="001E13CA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de l</w:t>
      </w:r>
      <w:r w:rsidR="00505127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a</w:t>
      </w:r>
      <w:r w:rsidR="001E13CA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Producción</w:t>
      </w:r>
      <w:r w:rsidRPr="0011369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y autoridades locales, supervisó la siembra de 10,000 alevinos de trucha arcoíris en la represa Pallcca. Posteriormente, en </w:t>
      </w:r>
      <w:r w:rsidR="005C0DEA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febrero</w:t>
      </w:r>
      <w:r w:rsidRPr="0011369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de 2025, un equipo multidisciplinario conformado por expertos de la DGA, la Dirección Regional de la Producción de Ayacucho, IMARPE, ITP y FONDEPES, evaluó el crecimiento y desarrollo de los alevinos, constatando que estos se encuentran en óptimas condiciones (talla promedio de 2 cm y peso promedio de 55 gramos), proyectándose alcanzar la talla comercial hacia finales de junio de 2025, lo que abriría la posibilidad de promover la pesca deportiva y otras actividades productivas.</w:t>
      </w:r>
    </w:p>
    <w:p w14:paraId="1BE6F97C" w14:textId="77777777" w:rsidR="00113691" w:rsidRPr="00113691" w:rsidRDefault="00113691" w:rsidP="00113691">
      <w:pPr>
        <w:pStyle w:val="NormalWeb"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11369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Como parte de una estrategia más amplia, también se realizó el levantamiento de información técnica para determinar la capacidad productiva a nivel intensivo de la represa Pallcca. Esta evaluación permitirá identificar oportunidades para el desarrollo de emprendimientos acuícolas, fomentando el crecimiento sostenible del sector y generando nuevas oportunidades económicas para las comunidades locales.</w:t>
      </w:r>
    </w:p>
    <w:p w14:paraId="06FDC911" w14:textId="420DB910" w:rsidR="00113691" w:rsidRDefault="00113691" w:rsidP="00113691">
      <w:pPr>
        <w:pStyle w:val="NormalWeb"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11369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A través de estas acciones, PRODUCE </w:t>
      </w:r>
      <w:r w:rsidR="001E13CA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a través de la DGA </w:t>
      </w:r>
      <w:r w:rsidRPr="0011369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reafirma su compromiso con el desarrollo sostenible de la acuicultura en el país, implementando prácticas basadas en evidencia científica que contribuyan a la seguridad alimentaria y al fortalecimiento económico de las regiones.</w:t>
      </w:r>
    </w:p>
    <w:p w14:paraId="16D14AF8" w14:textId="7635CC28" w:rsidR="001E13CA" w:rsidRDefault="001E13CA" w:rsidP="00113691">
      <w:pPr>
        <w:pStyle w:val="NormalWeb"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08E5FFFD" w14:textId="16C3CF9A" w:rsidR="001E13CA" w:rsidRPr="001E13CA" w:rsidRDefault="001E13CA" w:rsidP="00113691">
      <w:pPr>
        <w:pStyle w:val="NormalWeb"/>
        <w:jc w:val="both"/>
        <w:rPr>
          <w:rFonts w:ascii="Arial" w:eastAsiaTheme="minorHAnsi" w:hAnsi="Arial" w:cs="Arial"/>
          <w:kern w:val="2"/>
          <w:sz w:val="16"/>
          <w:szCs w:val="16"/>
          <w:lang w:eastAsia="en-US"/>
          <w14:ligatures w14:val="standardContextual"/>
        </w:rPr>
      </w:pPr>
      <w:r w:rsidRPr="001E13CA">
        <w:rPr>
          <w:rFonts w:ascii="Arial" w:eastAsiaTheme="minorHAnsi" w:hAnsi="Arial" w:cs="Arial"/>
          <w:kern w:val="2"/>
          <w:sz w:val="16"/>
          <w:szCs w:val="16"/>
          <w:lang w:eastAsia="en-US"/>
          <w14:ligatures w14:val="standardContextual"/>
        </w:rPr>
        <w:t>LHR/</w:t>
      </w:r>
    </w:p>
    <w:p w14:paraId="5CFFD274" w14:textId="77777777" w:rsidR="00113691" w:rsidRDefault="00113691" w:rsidP="00505127">
      <w:pPr>
        <w:rPr>
          <w:rFonts w:ascii="Arial" w:hAnsi="Arial" w:cs="Arial"/>
          <w:b/>
          <w:bCs/>
        </w:rPr>
      </w:pPr>
    </w:p>
    <w:p w14:paraId="1964E836" w14:textId="77777777" w:rsidR="00294594" w:rsidRDefault="00294594" w:rsidP="00505127">
      <w:pPr>
        <w:rPr>
          <w:rFonts w:ascii="Arial" w:hAnsi="Arial" w:cs="Arial"/>
          <w:b/>
          <w:bCs/>
        </w:rPr>
      </w:pPr>
    </w:p>
    <w:p w14:paraId="0EA9F840" w14:textId="77777777" w:rsidR="00294594" w:rsidRDefault="00294594" w:rsidP="00505127">
      <w:pPr>
        <w:rPr>
          <w:rFonts w:ascii="Arial" w:hAnsi="Arial" w:cs="Arial"/>
          <w:b/>
          <w:bCs/>
        </w:rPr>
      </w:pPr>
    </w:p>
    <w:p w14:paraId="5940682E" w14:textId="77777777" w:rsidR="00294594" w:rsidRDefault="00294594" w:rsidP="00505127">
      <w:pPr>
        <w:rPr>
          <w:rFonts w:ascii="Arial" w:hAnsi="Arial" w:cs="Arial"/>
          <w:b/>
          <w:bCs/>
        </w:rPr>
      </w:pPr>
    </w:p>
    <w:p w14:paraId="1B485974" w14:textId="77777777" w:rsidR="00294594" w:rsidRDefault="00294594" w:rsidP="00505127">
      <w:pPr>
        <w:rPr>
          <w:rFonts w:ascii="Arial" w:hAnsi="Arial" w:cs="Arial"/>
          <w:b/>
          <w:bCs/>
        </w:rPr>
      </w:pPr>
    </w:p>
    <w:p w14:paraId="29FD9233" w14:textId="77777777" w:rsidR="00294594" w:rsidRDefault="00294594" w:rsidP="00505127">
      <w:pPr>
        <w:rPr>
          <w:rFonts w:ascii="Arial" w:hAnsi="Arial" w:cs="Arial"/>
          <w:b/>
          <w:bCs/>
        </w:rPr>
      </w:pPr>
    </w:p>
    <w:p w14:paraId="46F4C052" w14:textId="77777777" w:rsidR="00294594" w:rsidRDefault="00294594" w:rsidP="00505127">
      <w:pPr>
        <w:rPr>
          <w:rFonts w:ascii="Arial" w:hAnsi="Arial" w:cs="Arial"/>
          <w:b/>
          <w:bCs/>
        </w:rPr>
      </w:pPr>
    </w:p>
    <w:p w14:paraId="621A4748" w14:textId="4976E210" w:rsidR="00505127" w:rsidRDefault="00505127" w:rsidP="00505127">
      <w:pPr>
        <w:pStyle w:val="NormalWeb"/>
        <w:jc w:val="center"/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lastRenderedPageBreak/>
        <w:t>DIRECCIÓN GENERAL DE ACUICULTURA REALIZA EL ANÁLISIS DEL RECURSO HÍDRICO</w:t>
      </w:r>
      <w:r w:rsidRPr="00113691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 EN LA REPRESA PALLCCA </w:t>
      </w:r>
      <w:r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CON FINES ACUÍCOLAS</w:t>
      </w:r>
    </w:p>
    <w:p w14:paraId="14B45AEF" w14:textId="77777777" w:rsidR="00505127" w:rsidRPr="00113691" w:rsidRDefault="00505127" w:rsidP="00505127">
      <w:pPr>
        <w:pStyle w:val="NormalWeb"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11369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El Ministerio de la Producción (PRODUCE), a través de la Dirección General de Acuicultura (DGA), continúa con su compromiso de impulsar la acuicultura nacional mediante la gestión integral de recursos hídricos y el repoblamiento de ambientes acuáticos propicios para esta actividad. </w:t>
      </w:r>
    </w:p>
    <w:p w14:paraId="661150AC" w14:textId="77777777" w:rsidR="00505127" w:rsidRPr="00113691" w:rsidRDefault="00505127" w:rsidP="00505127">
      <w:pPr>
        <w:pStyle w:val="NormalWeb"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11369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Los estudios </w:t>
      </w:r>
      <w:proofErr w:type="spellStart"/>
      <w:r w:rsidRPr="0011369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limnológicos</w:t>
      </w:r>
      <w:proofErr w:type="spellEnd"/>
      <w:r w:rsidRPr="0011369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realizados por los especialistas de la DGA determinaron que los parámetros fisicoquímicos del agua, como la concentración de oxígeno disuelto (7.8 mg/l), temperatura, conductividad eléctrica, pH, y niveles de compuestos nitrogenados y fosforados, se encuentran dentro de los rangos óptimos para el cultivo de la trucha arcoíris (</w:t>
      </w:r>
      <w:proofErr w:type="spellStart"/>
      <w:r w:rsidRPr="0011369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Oncorhynchus</w:t>
      </w:r>
      <w:proofErr w:type="spellEnd"/>
      <w:r w:rsidRPr="0011369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11369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mykiss</w:t>
      </w:r>
      <w:proofErr w:type="spellEnd"/>
      <w:r w:rsidRPr="0011369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). Adicionalmente, a través de una batimetría detallada, se evidenció la presencia de truchas, lo que respalda la idoneidad del cuerpo de agua para el desarrollo de esta actividad acuícola.</w:t>
      </w:r>
    </w:p>
    <w:p w14:paraId="4737CAF0" w14:textId="77777777" w:rsidR="00505127" w:rsidRPr="00113691" w:rsidRDefault="00505127" w:rsidP="00505127">
      <w:pPr>
        <w:pStyle w:val="NormalWeb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4CD1C3D4" w14:textId="77777777" w:rsidR="00505127" w:rsidRPr="00113691" w:rsidRDefault="00505127" w:rsidP="00505127">
      <w:pPr>
        <w:pStyle w:val="NormalWeb"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11369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En noviembre de 2024, la DGA llevó a cabo una evaluación del recurso hídrico de la represa Pallcca</w:t>
      </w: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con fines acuícolas</w:t>
      </w:r>
      <w:r w:rsidRPr="0011369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,</w:t>
      </w: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11369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ubicada en el distrito de Quinua, Ayacucho, a una altitud de 4,020 msnm. Esta represa, alimentada por el riachuelo homónimo, cuenta con una superficie de 17.9 hectáreas y una profundidad máxima de 27.5 metros.</w:t>
      </w:r>
    </w:p>
    <w:p w14:paraId="7DCDFAC5" w14:textId="77777777" w:rsidR="00505127" w:rsidRDefault="00505127" w:rsidP="00505127">
      <w:pPr>
        <w:rPr>
          <w:rFonts w:ascii="Arial" w:hAnsi="Arial" w:cs="Arial"/>
          <w:b/>
          <w:bCs/>
        </w:rPr>
      </w:pPr>
    </w:p>
    <w:sectPr w:rsidR="005051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C44"/>
    <w:rsid w:val="00113691"/>
    <w:rsid w:val="00145F23"/>
    <w:rsid w:val="001D6E28"/>
    <w:rsid w:val="001E13CA"/>
    <w:rsid w:val="00223850"/>
    <w:rsid w:val="00294594"/>
    <w:rsid w:val="004340CB"/>
    <w:rsid w:val="004F0A90"/>
    <w:rsid w:val="00505127"/>
    <w:rsid w:val="005C0DEA"/>
    <w:rsid w:val="006222C7"/>
    <w:rsid w:val="00641C8C"/>
    <w:rsid w:val="00704D21"/>
    <w:rsid w:val="00753081"/>
    <w:rsid w:val="00772C44"/>
    <w:rsid w:val="009D7EC1"/>
    <w:rsid w:val="009E0A21"/>
    <w:rsid w:val="00AA1393"/>
    <w:rsid w:val="00B71AE8"/>
    <w:rsid w:val="00BE7A7E"/>
    <w:rsid w:val="00D94924"/>
    <w:rsid w:val="00FC53AC"/>
    <w:rsid w:val="00FE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47EC24"/>
  <w15:chartTrackingRefBased/>
  <w15:docId w15:val="{70283BBC-BB45-4BC0-A8FA-E7B14110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72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2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2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2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2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2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2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2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2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2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2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2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2C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2C4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2C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2C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2C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2C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2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2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2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2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2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2C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2C4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2C4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2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2C4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2C4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1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E"/>
      <w14:ligatures w14:val="none"/>
    </w:rPr>
  </w:style>
  <w:style w:type="character" w:styleId="Textoennegrita">
    <w:name w:val="Strong"/>
    <w:basedOn w:val="Fuentedeprrafopredeter"/>
    <w:uiPriority w:val="22"/>
    <w:qFormat/>
    <w:rsid w:val="001136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9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Marisabel Cervantes Cavero</dc:creator>
  <cp:keywords/>
  <dc:description/>
  <cp:lastModifiedBy>Natalia Marisabel Cervantes Cavero</cp:lastModifiedBy>
  <cp:revision>2</cp:revision>
  <dcterms:created xsi:type="dcterms:W3CDTF">2025-03-13T14:42:00Z</dcterms:created>
  <dcterms:modified xsi:type="dcterms:W3CDTF">2025-03-13T14:42:00Z</dcterms:modified>
</cp:coreProperties>
</file>