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74" w:rsidRPr="00E84E74" w:rsidRDefault="001B26F7" w:rsidP="00E84E74">
      <w:pPr>
        <w:jc w:val="both"/>
        <w:rPr>
          <w:sz w:val="21"/>
          <w:szCs w:val="21"/>
        </w:rPr>
      </w:pPr>
      <w:r w:rsidRPr="00E84E74">
        <w:rPr>
          <w:sz w:val="21"/>
          <w:szCs w:val="21"/>
        </w:rPr>
        <w:t>RESOLUCIÓN</w:t>
      </w:r>
      <w:r w:rsidR="00E84E74" w:rsidRPr="00E84E74">
        <w:rPr>
          <w:sz w:val="21"/>
          <w:szCs w:val="21"/>
        </w:rPr>
        <w:t xml:space="preserve"> MINISTERIAL Nº 341-2016-PRODUCE</w:t>
      </w:r>
    </w:p>
    <w:p w:rsidR="00740F9D" w:rsidRPr="00E84E74" w:rsidRDefault="00740F9D" w:rsidP="00E84E74">
      <w:pPr>
        <w:jc w:val="both"/>
        <w:rPr>
          <w:sz w:val="21"/>
          <w:szCs w:val="21"/>
        </w:rPr>
      </w:pPr>
      <w:r w:rsidRPr="00E84E74">
        <w:rPr>
          <w:sz w:val="21"/>
          <w:szCs w:val="21"/>
        </w:rPr>
        <w:t xml:space="preserve">Rectifican error material en que se incurrió en el cuadro de Coordenadas Geográficas indicado en el numeral 4.2 de la Cláusula Cuarta del “Convenio de Conservación, Inversión y Producción Acuícola” aprobado por </w:t>
      </w:r>
      <w:proofErr w:type="spellStart"/>
      <w:r w:rsidRPr="00E84E74">
        <w:rPr>
          <w:sz w:val="21"/>
          <w:szCs w:val="21"/>
        </w:rPr>
        <w:t>R.M</w:t>
      </w:r>
      <w:proofErr w:type="spellEnd"/>
      <w:r w:rsidRPr="00E84E74">
        <w:rPr>
          <w:sz w:val="21"/>
          <w:szCs w:val="21"/>
        </w:rPr>
        <w:t>. Nº 258-2016-PRODUCE</w:t>
      </w:r>
    </w:p>
    <w:p w:rsidR="00740F9D" w:rsidRPr="00E84E74" w:rsidRDefault="00740F9D" w:rsidP="00E84E74">
      <w:pPr>
        <w:jc w:val="both"/>
        <w:rPr>
          <w:sz w:val="21"/>
          <w:szCs w:val="21"/>
        </w:rPr>
      </w:pPr>
      <w:r w:rsidRPr="00E84E74">
        <w:rPr>
          <w:sz w:val="21"/>
          <w:szCs w:val="21"/>
        </w:rPr>
        <w:t>Lima, 1 de setiembre de 2016</w:t>
      </w:r>
    </w:p>
    <w:p w:rsidR="00740F9D" w:rsidRPr="00E84E74" w:rsidRDefault="00740F9D" w:rsidP="00E84E74">
      <w:pPr>
        <w:jc w:val="both"/>
        <w:rPr>
          <w:sz w:val="21"/>
          <w:szCs w:val="21"/>
        </w:rPr>
      </w:pPr>
      <w:r w:rsidRPr="00E84E74">
        <w:rPr>
          <w:sz w:val="21"/>
          <w:szCs w:val="21"/>
        </w:rPr>
        <w:tab/>
        <w:t>VISTOS: El Memorando Nº 3137-2016-PRODUCE/</w:t>
      </w:r>
      <w:proofErr w:type="spellStart"/>
      <w:r w:rsidRPr="00E84E74">
        <w:rPr>
          <w:sz w:val="21"/>
          <w:szCs w:val="21"/>
        </w:rPr>
        <w:t>DGCHD-DIAC</w:t>
      </w:r>
      <w:proofErr w:type="spellEnd"/>
      <w:r w:rsidRPr="00E84E74">
        <w:rPr>
          <w:sz w:val="21"/>
          <w:szCs w:val="21"/>
        </w:rPr>
        <w:t xml:space="preserve"> de la Dirección General de Extracción y Producción Pesquera para Consumo Humano Directo, el Informe Legal Nº 058-2016-PRODUCE/</w:t>
      </w:r>
      <w:proofErr w:type="spellStart"/>
      <w:r w:rsidRPr="00E84E74">
        <w:rPr>
          <w:sz w:val="21"/>
          <w:szCs w:val="21"/>
        </w:rPr>
        <w:t>DGCHD-DIAC-evaldiviezo</w:t>
      </w:r>
      <w:proofErr w:type="spellEnd"/>
      <w:r w:rsidRPr="00E84E74">
        <w:rPr>
          <w:sz w:val="21"/>
          <w:szCs w:val="21"/>
        </w:rPr>
        <w:t xml:space="preserve"> de la Dirección de Acuicultura de la Dirección General de Extracción y Producción Pesquera para Consumo Humano Directo; y,</w:t>
      </w:r>
    </w:p>
    <w:p w:rsidR="00740F9D" w:rsidRPr="00E84E74" w:rsidRDefault="00740F9D" w:rsidP="00E84E74">
      <w:pPr>
        <w:jc w:val="both"/>
        <w:rPr>
          <w:sz w:val="21"/>
          <w:szCs w:val="21"/>
        </w:rPr>
      </w:pPr>
      <w:r w:rsidRPr="00E84E74">
        <w:rPr>
          <w:sz w:val="21"/>
          <w:szCs w:val="21"/>
        </w:rPr>
        <w:tab/>
        <w:t>CONSIDERANDO:</w:t>
      </w:r>
    </w:p>
    <w:p w:rsidR="00740F9D" w:rsidRPr="00E84E74" w:rsidRDefault="00740F9D" w:rsidP="00E84E74">
      <w:pPr>
        <w:jc w:val="both"/>
        <w:rPr>
          <w:sz w:val="21"/>
          <w:szCs w:val="21"/>
        </w:rPr>
      </w:pPr>
      <w:r w:rsidRPr="00E84E74">
        <w:rPr>
          <w:sz w:val="21"/>
          <w:szCs w:val="21"/>
        </w:rPr>
        <w:tab/>
        <w:t>Que, mediante Resolución Ministerial Nº 258-2016-PRODUCE se aprobó el modelo de “Convenio de Conservación, Inversión y Producción Acuícola” que deben de suscribir las personas naturales o jurídicas que solicit</w:t>
      </w:r>
      <w:bookmarkStart w:id="0" w:name="_GoBack"/>
      <w:bookmarkEnd w:id="0"/>
      <w:r w:rsidRPr="00E84E74">
        <w:rPr>
          <w:sz w:val="21"/>
          <w:szCs w:val="21"/>
        </w:rPr>
        <w:t>en concesión para realizar actividades de acuicultura en áreas de dominio público, el cual forma parte como anexo de la citada Resolución Ministerial;</w:t>
      </w:r>
    </w:p>
    <w:p w:rsidR="00740F9D" w:rsidRPr="00E84E74" w:rsidRDefault="00740F9D" w:rsidP="00E84E74">
      <w:pPr>
        <w:jc w:val="both"/>
        <w:rPr>
          <w:sz w:val="21"/>
          <w:szCs w:val="21"/>
        </w:rPr>
      </w:pPr>
      <w:r w:rsidRPr="00E84E74">
        <w:rPr>
          <w:sz w:val="21"/>
          <w:szCs w:val="21"/>
        </w:rPr>
        <w:tab/>
        <w:t>Que, con Memorando Nº 3137-2016-PRODUCE/</w:t>
      </w:r>
      <w:proofErr w:type="spellStart"/>
      <w:r w:rsidRPr="00E84E74">
        <w:rPr>
          <w:sz w:val="21"/>
          <w:szCs w:val="21"/>
        </w:rPr>
        <w:t>DGCHD-DIAC</w:t>
      </w:r>
      <w:proofErr w:type="spellEnd"/>
      <w:r w:rsidRPr="00E84E74">
        <w:rPr>
          <w:sz w:val="21"/>
          <w:szCs w:val="21"/>
        </w:rPr>
        <w:t>, la Dirección de Acuicultura de la Dirección General de Extracción y Producción Pesquera para Consumo Humano Directo remite a la Oficina General de Asesoría Jurídica, el Informe Legal Nº 058-2016-PRODUCE/</w:t>
      </w:r>
      <w:proofErr w:type="spellStart"/>
      <w:r w:rsidRPr="00E84E74">
        <w:rPr>
          <w:sz w:val="21"/>
          <w:szCs w:val="21"/>
        </w:rPr>
        <w:t>DGCHD-DIAC-evaldiviezo</w:t>
      </w:r>
      <w:proofErr w:type="spellEnd"/>
      <w:r w:rsidRPr="00E84E74">
        <w:rPr>
          <w:sz w:val="21"/>
          <w:szCs w:val="21"/>
        </w:rPr>
        <w:t>, por el cual señalan que se ha incurrido en error material en el cuadro de Coordenadas Geográficas indicado en el numeral 4.2 de la Cláusula Cuarta del “Convenio de Conservación, Inversión y Producción Acuícola” aprobado por Resolución Ministerial Nº 258-2016-PRODUCE, haberse consignado LONGITUD SUR, debiendo decir LONGITUD OESTE;</w:t>
      </w:r>
    </w:p>
    <w:p w:rsidR="00740F9D" w:rsidRPr="00E84E74" w:rsidRDefault="00740F9D" w:rsidP="00E84E74">
      <w:pPr>
        <w:jc w:val="both"/>
        <w:rPr>
          <w:sz w:val="21"/>
          <w:szCs w:val="21"/>
        </w:rPr>
      </w:pPr>
      <w:r w:rsidRPr="00E84E74">
        <w:rPr>
          <w:sz w:val="21"/>
          <w:szCs w:val="21"/>
        </w:rPr>
        <w:tab/>
        <w:t>Que, en el numeral 201 de la Ley Nº 27444, se establece que los errores materiales o aritméticos en los actos administrativos pueden ser rectificados con efecto retroactivo, en cualquier momento, de oficio o a instancia de los administrados, siempre que no se altere lo sustancial de su contenido ni el sentido de la decisión; asimismo, la rectificación debe adoptar las formas y modalidades de comunicación o publicación que corresponda para el acto original;</w:t>
      </w:r>
    </w:p>
    <w:p w:rsidR="00740F9D" w:rsidRPr="00E84E74" w:rsidRDefault="00740F9D" w:rsidP="00E84E74">
      <w:pPr>
        <w:jc w:val="both"/>
        <w:rPr>
          <w:sz w:val="21"/>
          <w:szCs w:val="21"/>
        </w:rPr>
      </w:pPr>
      <w:r w:rsidRPr="00E84E74">
        <w:rPr>
          <w:sz w:val="21"/>
          <w:szCs w:val="21"/>
        </w:rPr>
        <w:tab/>
        <w:t>De conformidad con lo dispuesto en la Ley Nº 27444, Ley del Procedimiento Administrativo General, Ley Nº 1047, Ley de Organización y Funciones del Ministerio de la Producción; y, la Resolución Ministerial Nº 343-2012-PRODUCE que aprueba el Reglamento de Organización y Funciones del Ministerio de la Producción;</w:t>
      </w:r>
    </w:p>
    <w:p w:rsidR="00740F9D" w:rsidRPr="00E84E74" w:rsidRDefault="00740F9D" w:rsidP="00E84E74">
      <w:pPr>
        <w:jc w:val="both"/>
        <w:rPr>
          <w:sz w:val="21"/>
          <w:szCs w:val="21"/>
        </w:rPr>
      </w:pPr>
      <w:r w:rsidRPr="00E84E74">
        <w:rPr>
          <w:sz w:val="21"/>
          <w:szCs w:val="21"/>
        </w:rPr>
        <w:tab/>
        <w:t>SE RESUELVE:</w:t>
      </w:r>
    </w:p>
    <w:p w:rsidR="00740F9D" w:rsidRPr="00E84E74" w:rsidRDefault="00740F9D" w:rsidP="00E84E74">
      <w:pPr>
        <w:jc w:val="both"/>
        <w:rPr>
          <w:sz w:val="21"/>
          <w:szCs w:val="21"/>
        </w:rPr>
      </w:pPr>
      <w:r w:rsidRPr="00E84E74">
        <w:rPr>
          <w:sz w:val="21"/>
          <w:szCs w:val="21"/>
        </w:rPr>
        <w:tab/>
        <w:t>Artículo 1.- Rectificar el error material que se incurrió en el cuadro de Coordenadas Geográficas indicado en el numeral 4.2 de la Cláusula Cuarta del “Convenio de Conservación, Inversión y Producción Acuícola” aprobado por Resolución Ministerial Nº 258-2016-PRODUCE.</w:t>
      </w:r>
    </w:p>
    <w:p w:rsidR="00740F9D" w:rsidRPr="00E84E74" w:rsidRDefault="00740F9D" w:rsidP="00E84E74">
      <w:pPr>
        <w:jc w:val="both"/>
        <w:rPr>
          <w:sz w:val="21"/>
          <w:szCs w:val="21"/>
        </w:rPr>
      </w:pPr>
      <w:r w:rsidRPr="00E84E74">
        <w:rPr>
          <w:sz w:val="21"/>
          <w:szCs w:val="21"/>
        </w:rPr>
        <w:tab/>
        <w:t>DICE:</w:t>
      </w:r>
    </w:p>
    <w:tbl>
      <w:tblPr>
        <w:tblStyle w:val="Tablaconcuadrcula"/>
        <w:tblW w:w="0" w:type="auto"/>
        <w:tblLook w:val="04A0" w:firstRow="1" w:lastRow="0" w:firstColumn="1" w:lastColumn="0" w:noHBand="0" w:noVBand="1"/>
      </w:tblPr>
      <w:tblGrid>
        <w:gridCol w:w="1737"/>
        <w:gridCol w:w="1445"/>
        <w:gridCol w:w="1737"/>
      </w:tblGrid>
      <w:tr w:rsidR="008132D6" w:rsidRPr="008C5290" w:rsidTr="004C0FF5">
        <w:tc>
          <w:tcPr>
            <w:tcW w:w="1737" w:type="dxa"/>
          </w:tcPr>
          <w:p w:rsidR="008132D6" w:rsidRPr="008C5290" w:rsidRDefault="008132D6" w:rsidP="008C5290">
            <w:pPr>
              <w:jc w:val="both"/>
              <w:rPr>
                <w:sz w:val="20"/>
                <w:szCs w:val="20"/>
              </w:rPr>
            </w:pPr>
            <w:r w:rsidRPr="008C5290">
              <w:rPr>
                <w:sz w:val="20"/>
                <w:szCs w:val="20"/>
              </w:rPr>
              <w:t>VÉRTICE</w:t>
            </w:r>
            <w:r w:rsidRPr="008C5290">
              <w:rPr>
                <w:sz w:val="20"/>
                <w:szCs w:val="20"/>
              </w:rPr>
              <w:t xml:space="preserve"> </w:t>
            </w:r>
            <w:r w:rsidRPr="008C5290">
              <w:rPr>
                <w:sz w:val="20"/>
                <w:szCs w:val="20"/>
              </w:rPr>
              <w:tab/>
            </w:r>
          </w:p>
        </w:tc>
        <w:tc>
          <w:tcPr>
            <w:tcW w:w="1445" w:type="dxa"/>
          </w:tcPr>
          <w:p w:rsidR="008132D6" w:rsidRPr="008C5290" w:rsidRDefault="008132D6" w:rsidP="008C5290">
            <w:pPr>
              <w:jc w:val="both"/>
              <w:rPr>
                <w:sz w:val="20"/>
                <w:szCs w:val="20"/>
              </w:rPr>
            </w:pPr>
            <w:r w:rsidRPr="008C5290">
              <w:rPr>
                <w:sz w:val="20"/>
                <w:szCs w:val="20"/>
              </w:rPr>
              <w:t>LATITUD SUR</w:t>
            </w:r>
          </w:p>
        </w:tc>
        <w:tc>
          <w:tcPr>
            <w:tcW w:w="1737" w:type="dxa"/>
          </w:tcPr>
          <w:p w:rsidR="008132D6" w:rsidRPr="008C5290" w:rsidRDefault="008132D6" w:rsidP="008C5290">
            <w:pPr>
              <w:jc w:val="both"/>
              <w:rPr>
                <w:sz w:val="20"/>
                <w:szCs w:val="20"/>
              </w:rPr>
            </w:pPr>
            <w:r w:rsidRPr="008C5290">
              <w:rPr>
                <w:sz w:val="20"/>
                <w:szCs w:val="20"/>
              </w:rPr>
              <w:t>LONGITUD SUR</w:t>
            </w:r>
            <w:r w:rsidRPr="008C5290">
              <w:rPr>
                <w:sz w:val="20"/>
                <w:szCs w:val="20"/>
              </w:rPr>
              <w:tab/>
            </w:r>
          </w:p>
        </w:tc>
      </w:tr>
      <w:tr w:rsidR="008132D6" w:rsidRPr="008C5290" w:rsidTr="004C0FF5">
        <w:tc>
          <w:tcPr>
            <w:tcW w:w="1737" w:type="dxa"/>
          </w:tcPr>
          <w:p w:rsidR="008132D6" w:rsidRPr="008C5290" w:rsidRDefault="008132D6" w:rsidP="008C5290">
            <w:pPr>
              <w:jc w:val="both"/>
              <w:rPr>
                <w:sz w:val="20"/>
                <w:szCs w:val="20"/>
              </w:rPr>
            </w:pPr>
            <w:r w:rsidRPr="008C5290">
              <w:rPr>
                <w:sz w:val="20"/>
                <w:szCs w:val="20"/>
              </w:rPr>
              <w:t>A</w:t>
            </w:r>
          </w:p>
        </w:tc>
        <w:tc>
          <w:tcPr>
            <w:tcW w:w="1445" w:type="dxa"/>
          </w:tcPr>
          <w:p w:rsidR="008132D6" w:rsidRPr="008C5290" w:rsidRDefault="008132D6" w:rsidP="008C5290">
            <w:pPr>
              <w:jc w:val="both"/>
              <w:rPr>
                <w:sz w:val="20"/>
                <w:szCs w:val="20"/>
              </w:rPr>
            </w:pPr>
          </w:p>
        </w:tc>
        <w:tc>
          <w:tcPr>
            <w:tcW w:w="1737" w:type="dxa"/>
          </w:tcPr>
          <w:p w:rsidR="008132D6" w:rsidRPr="008C5290" w:rsidRDefault="008132D6" w:rsidP="008C5290">
            <w:pPr>
              <w:jc w:val="both"/>
              <w:rPr>
                <w:sz w:val="20"/>
                <w:szCs w:val="20"/>
              </w:rPr>
            </w:pPr>
          </w:p>
        </w:tc>
      </w:tr>
      <w:tr w:rsidR="008132D6" w:rsidRPr="008C5290" w:rsidTr="004C0FF5">
        <w:tc>
          <w:tcPr>
            <w:tcW w:w="1737" w:type="dxa"/>
          </w:tcPr>
          <w:p w:rsidR="008132D6" w:rsidRPr="008C5290" w:rsidRDefault="008132D6" w:rsidP="008C5290">
            <w:pPr>
              <w:jc w:val="both"/>
              <w:rPr>
                <w:sz w:val="20"/>
                <w:szCs w:val="20"/>
              </w:rPr>
            </w:pPr>
            <w:r w:rsidRPr="008C5290">
              <w:rPr>
                <w:sz w:val="20"/>
                <w:szCs w:val="20"/>
              </w:rPr>
              <w:t>B</w:t>
            </w:r>
          </w:p>
        </w:tc>
        <w:tc>
          <w:tcPr>
            <w:tcW w:w="1445" w:type="dxa"/>
          </w:tcPr>
          <w:p w:rsidR="008132D6" w:rsidRPr="008C5290" w:rsidRDefault="008132D6" w:rsidP="008C5290">
            <w:pPr>
              <w:jc w:val="both"/>
              <w:rPr>
                <w:sz w:val="20"/>
                <w:szCs w:val="20"/>
              </w:rPr>
            </w:pPr>
          </w:p>
        </w:tc>
        <w:tc>
          <w:tcPr>
            <w:tcW w:w="1737" w:type="dxa"/>
          </w:tcPr>
          <w:p w:rsidR="008132D6" w:rsidRPr="008C5290" w:rsidRDefault="008132D6" w:rsidP="008C5290">
            <w:pPr>
              <w:jc w:val="both"/>
              <w:rPr>
                <w:sz w:val="20"/>
                <w:szCs w:val="20"/>
              </w:rPr>
            </w:pPr>
          </w:p>
        </w:tc>
      </w:tr>
      <w:tr w:rsidR="008132D6" w:rsidRPr="008C5290" w:rsidTr="004C0FF5">
        <w:tc>
          <w:tcPr>
            <w:tcW w:w="1737" w:type="dxa"/>
          </w:tcPr>
          <w:p w:rsidR="008132D6" w:rsidRPr="008C5290" w:rsidRDefault="008132D6" w:rsidP="008C5290">
            <w:pPr>
              <w:jc w:val="both"/>
              <w:rPr>
                <w:sz w:val="20"/>
                <w:szCs w:val="20"/>
              </w:rPr>
            </w:pPr>
            <w:r w:rsidRPr="008C5290">
              <w:rPr>
                <w:sz w:val="20"/>
                <w:szCs w:val="20"/>
              </w:rPr>
              <w:t>C</w:t>
            </w:r>
          </w:p>
        </w:tc>
        <w:tc>
          <w:tcPr>
            <w:tcW w:w="1445" w:type="dxa"/>
          </w:tcPr>
          <w:p w:rsidR="008132D6" w:rsidRPr="008C5290" w:rsidRDefault="008132D6" w:rsidP="008C5290">
            <w:pPr>
              <w:jc w:val="both"/>
              <w:rPr>
                <w:sz w:val="20"/>
                <w:szCs w:val="20"/>
              </w:rPr>
            </w:pPr>
          </w:p>
        </w:tc>
        <w:tc>
          <w:tcPr>
            <w:tcW w:w="1737" w:type="dxa"/>
          </w:tcPr>
          <w:p w:rsidR="008132D6" w:rsidRPr="008C5290" w:rsidRDefault="008132D6" w:rsidP="008C5290">
            <w:pPr>
              <w:jc w:val="both"/>
              <w:rPr>
                <w:sz w:val="20"/>
                <w:szCs w:val="20"/>
              </w:rPr>
            </w:pPr>
          </w:p>
        </w:tc>
      </w:tr>
      <w:tr w:rsidR="008132D6" w:rsidRPr="008C5290" w:rsidTr="004C0FF5">
        <w:tc>
          <w:tcPr>
            <w:tcW w:w="1737" w:type="dxa"/>
          </w:tcPr>
          <w:p w:rsidR="008132D6" w:rsidRPr="008C5290" w:rsidRDefault="008132D6" w:rsidP="008C5290">
            <w:pPr>
              <w:jc w:val="both"/>
              <w:rPr>
                <w:sz w:val="20"/>
                <w:szCs w:val="20"/>
              </w:rPr>
            </w:pPr>
            <w:r w:rsidRPr="008C5290">
              <w:rPr>
                <w:sz w:val="20"/>
                <w:szCs w:val="20"/>
              </w:rPr>
              <w:t>D</w:t>
            </w:r>
          </w:p>
        </w:tc>
        <w:tc>
          <w:tcPr>
            <w:tcW w:w="1445" w:type="dxa"/>
          </w:tcPr>
          <w:p w:rsidR="008132D6" w:rsidRPr="008C5290" w:rsidRDefault="008132D6" w:rsidP="008C5290">
            <w:pPr>
              <w:jc w:val="both"/>
              <w:rPr>
                <w:sz w:val="20"/>
                <w:szCs w:val="20"/>
              </w:rPr>
            </w:pPr>
          </w:p>
        </w:tc>
        <w:tc>
          <w:tcPr>
            <w:tcW w:w="1737" w:type="dxa"/>
          </w:tcPr>
          <w:p w:rsidR="008132D6" w:rsidRPr="008C5290" w:rsidRDefault="008132D6" w:rsidP="008C5290">
            <w:pPr>
              <w:jc w:val="both"/>
              <w:rPr>
                <w:sz w:val="20"/>
                <w:szCs w:val="20"/>
              </w:rPr>
            </w:pPr>
          </w:p>
        </w:tc>
      </w:tr>
    </w:tbl>
    <w:p w:rsidR="00E84E74" w:rsidRDefault="00E84E74" w:rsidP="00E84E74">
      <w:pPr>
        <w:jc w:val="both"/>
        <w:rPr>
          <w:sz w:val="21"/>
          <w:szCs w:val="21"/>
        </w:rPr>
      </w:pPr>
    </w:p>
    <w:p w:rsidR="00740F9D" w:rsidRPr="00E84E74" w:rsidRDefault="00740F9D" w:rsidP="00E84E74">
      <w:pPr>
        <w:jc w:val="both"/>
        <w:rPr>
          <w:sz w:val="21"/>
          <w:szCs w:val="21"/>
        </w:rPr>
      </w:pPr>
      <w:r w:rsidRPr="00E84E74">
        <w:rPr>
          <w:sz w:val="21"/>
          <w:szCs w:val="21"/>
        </w:rPr>
        <w:tab/>
      </w:r>
    </w:p>
    <w:p w:rsidR="00740F9D" w:rsidRPr="00E84E74" w:rsidRDefault="00740F9D" w:rsidP="004C0FF5">
      <w:pPr>
        <w:ind w:firstLine="709"/>
        <w:jc w:val="both"/>
        <w:rPr>
          <w:sz w:val="21"/>
          <w:szCs w:val="21"/>
        </w:rPr>
      </w:pPr>
      <w:r w:rsidRPr="00E84E74">
        <w:rPr>
          <w:sz w:val="21"/>
          <w:szCs w:val="21"/>
        </w:rPr>
        <w:lastRenderedPageBreak/>
        <w:t>DEBE DECIR:</w:t>
      </w:r>
    </w:p>
    <w:tbl>
      <w:tblPr>
        <w:tblStyle w:val="Tablaconcuadrcula"/>
        <w:tblW w:w="0" w:type="auto"/>
        <w:tblLook w:val="04A0" w:firstRow="1" w:lastRow="0" w:firstColumn="1" w:lastColumn="0" w:noHBand="0" w:noVBand="1"/>
      </w:tblPr>
      <w:tblGrid>
        <w:gridCol w:w="1764"/>
        <w:gridCol w:w="1467"/>
        <w:gridCol w:w="1764"/>
      </w:tblGrid>
      <w:tr w:rsidR="008132D6" w:rsidRPr="008132D6" w:rsidTr="004C0FF5">
        <w:trPr>
          <w:trHeight w:val="161"/>
        </w:trPr>
        <w:tc>
          <w:tcPr>
            <w:tcW w:w="1764" w:type="dxa"/>
          </w:tcPr>
          <w:p w:rsidR="008132D6" w:rsidRPr="008C5290" w:rsidRDefault="008132D6" w:rsidP="004C0FF5">
            <w:pPr>
              <w:spacing w:line="259" w:lineRule="auto"/>
              <w:jc w:val="both"/>
              <w:rPr>
                <w:sz w:val="20"/>
                <w:szCs w:val="20"/>
              </w:rPr>
            </w:pPr>
            <w:r w:rsidRPr="008C5290">
              <w:rPr>
                <w:sz w:val="20"/>
                <w:szCs w:val="20"/>
              </w:rPr>
              <w:t>VÉRTICE</w:t>
            </w:r>
          </w:p>
        </w:tc>
        <w:tc>
          <w:tcPr>
            <w:tcW w:w="1467" w:type="dxa"/>
          </w:tcPr>
          <w:p w:rsidR="008132D6" w:rsidRPr="008C5290" w:rsidRDefault="008132D6" w:rsidP="004C0FF5">
            <w:pPr>
              <w:spacing w:line="259" w:lineRule="auto"/>
              <w:jc w:val="both"/>
              <w:rPr>
                <w:sz w:val="20"/>
                <w:szCs w:val="20"/>
              </w:rPr>
            </w:pPr>
            <w:r w:rsidRPr="008C5290">
              <w:rPr>
                <w:sz w:val="20"/>
                <w:szCs w:val="20"/>
              </w:rPr>
              <w:t>LATITUD SUR</w:t>
            </w:r>
          </w:p>
        </w:tc>
        <w:tc>
          <w:tcPr>
            <w:tcW w:w="1764" w:type="dxa"/>
          </w:tcPr>
          <w:p w:rsidR="008132D6" w:rsidRPr="008C5290" w:rsidRDefault="008132D6" w:rsidP="004C0FF5">
            <w:pPr>
              <w:spacing w:line="259" w:lineRule="auto"/>
              <w:jc w:val="both"/>
              <w:rPr>
                <w:sz w:val="20"/>
                <w:szCs w:val="20"/>
              </w:rPr>
            </w:pPr>
            <w:r w:rsidRPr="008C5290">
              <w:rPr>
                <w:sz w:val="20"/>
                <w:szCs w:val="20"/>
              </w:rPr>
              <w:t>LONGITUD OESTE</w:t>
            </w:r>
          </w:p>
        </w:tc>
      </w:tr>
      <w:tr w:rsidR="008132D6" w:rsidRPr="008132D6" w:rsidTr="004C0FF5">
        <w:trPr>
          <w:trHeight w:val="247"/>
        </w:trPr>
        <w:tc>
          <w:tcPr>
            <w:tcW w:w="1764" w:type="dxa"/>
          </w:tcPr>
          <w:p w:rsidR="008132D6" w:rsidRPr="008C5290" w:rsidRDefault="008132D6" w:rsidP="004C0FF5">
            <w:pPr>
              <w:spacing w:line="259" w:lineRule="auto"/>
              <w:jc w:val="both"/>
              <w:rPr>
                <w:sz w:val="20"/>
                <w:szCs w:val="20"/>
              </w:rPr>
            </w:pPr>
            <w:r w:rsidRPr="008C5290">
              <w:rPr>
                <w:sz w:val="20"/>
                <w:szCs w:val="20"/>
              </w:rPr>
              <w:t>A</w:t>
            </w:r>
          </w:p>
        </w:tc>
        <w:tc>
          <w:tcPr>
            <w:tcW w:w="1467" w:type="dxa"/>
          </w:tcPr>
          <w:p w:rsidR="008132D6" w:rsidRPr="008C5290" w:rsidRDefault="008132D6" w:rsidP="004C0FF5">
            <w:pPr>
              <w:spacing w:line="259" w:lineRule="auto"/>
              <w:jc w:val="both"/>
              <w:rPr>
                <w:sz w:val="20"/>
                <w:szCs w:val="20"/>
              </w:rPr>
            </w:pPr>
          </w:p>
        </w:tc>
        <w:tc>
          <w:tcPr>
            <w:tcW w:w="1764" w:type="dxa"/>
          </w:tcPr>
          <w:p w:rsidR="008132D6" w:rsidRPr="008C5290" w:rsidRDefault="008132D6" w:rsidP="004C0FF5">
            <w:pPr>
              <w:spacing w:line="259" w:lineRule="auto"/>
              <w:jc w:val="both"/>
              <w:rPr>
                <w:sz w:val="20"/>
                <w:szCs w:val="20"/>
              </w:rPr>
            </w:pPr>
          </w:p>
        </w:tc>
      </w:tr>
      <w:tr w:rsidR="008132D6" w:rsidRPr="008132D6" w:rsidTr="004C0FF5">
        <w:trPr>
          <w:trHeight w:val="150"/>
        </w:trPr>
        <w:tc>
          <w:tcPr>
            <w:tcW w:w="1764" w:type="dxa"/>
          </w:tcPr>
          <w:p w:rsidR="008132D6" w:rsidRPr="008C5290" w:rsidRDefault="008132D6" w:rsidP="004C0FF5">
            <w:pPr>
              <w:spacing w:line="259" w:lineRule="auto"/>
              <w:jc w:val="both"/>
              <w:rPr>
                <w:sz w:val="20"/>
                <w:szCs w:val="20"/>
              </w:rPr>
            </w:pPr>
            <w:r w:rsidRPr="008C5290">
              <w:rPr>
                <w:sz w:val="20"/>
                <w:szCs w:val="20"/>
              </w:rPr>
              <w:t>B</w:t>
            </w:r>
          </w:p>
        </w:tc>
        <w:tc>
          <w:tcPr>
            <w:tcW w:w="1467" w:type="dxa"/>
          </w:tcPr>
          <w:p w:rsidR="008132D6" w:rsidRPr="008C5290" w:rsidRDefault="008132D6" w:rsidP="004C0FF5">
            <w:pPr>
              <w:spacing w:line="259" w:lineRule="auto"/>
              <w:jc w:val="both"/>
              <w:rPr>
                <w:sz w:val="20"/>
                <w:szCs w:val="20"/>
              </w:rPr>
            </w:pPr>
          </w:p>
        </w:tc>
        <w:tc>
          <w:tcPr>
            <w:tcW w:w="1764" w:type="dxa"/>
          </w:tcPr>
          <w:p w:rsidR="008132D6" w:rsidRPr="008C5290" w:rsidRDefault="008132D6" w:rsidP="004C0FF5">
            <w:pPr>
              <w:spacing w:line="259" w:lineRule="auto"/>
              <w:jc w:val="both"/>
              <w:rPr>
                <w:sz w:val="20"/>
                <w:szCs w:val="20"/>
              </w:rPr>
            </w:pPr>
          </w:p>
        </w:tc>
      </w:tr>
      <w:tr w:rsidR="008132D6" w:rsidRPr="008132D6" w:rsidTr="004C0FF5">
        <w:trPr>
          <w:trHeight w:val="145"/>
        </w:trPr>
        <w:tc>
          <w:tcPr>
            <w:tcW w:w="1764" w:type="dxa"/>
          </w:tcPr>
          <w:p w:rsidR="008132D6" w:rsidRPr="008C5290" w:rsidRDefault="008132D6" w:rsidP="004C0FF5">
            <w:pPr>
              <w:spacing w:line="259" w:lineRule="auto"/>
              <w:jc w:val="both"/>
              <w:rPr>
                <w:sz w:val="20"/>
                <w:szCs w:val="20"/>
              </w:rPr>
            </w:pPr>
            <w:r w:rsidRPr="008C5290">
              <w:rPr>
                <w:sz w:val="20"/>
                <w:szCs w:val="20"/>
              </w:rPr>
              <w:t>C</w:t>
            </w:r>
          </w:p>
        </w:tc>
        <w:tc>
          <w:tcPr>
            <w:tcW w:w="1467" w:type="dxa"/>
          </w:tcPr>
          <w:p w:rsidR="008132D6" w:rsidRPr="008C5290" w:rsidRDefault="008132D6" w:rsidP="004C0FF5">
            <w:pPr>
              <w:spacing w:line="259" w:lineRule="auto"/>
              <w:jc w:val="both"/>
              <w:rPr>
                <w:sz w:val="20"/>
                <w:szCs w:val="20"/>
              </w:rPr>
            </w:pPr>
          </w:p>
        </w:tc>
        <w:tc>
          <w:tcPr>
            <w:tcW w:w="1764" w:type="dxa"/>
          </w:tcPr>
          <w:p w:rsidR="008132D6" w:rsidRPr="008C5290" w:rsidRDefault="008132D6" w:rsidP="004C0FF5">
            <w:pPr>
              <w:spacing w:line="259" w:lineRule="auto"/>
              <w:jc w:val="both"/>
              <w:rPr>
                <w:sz w:val="20"/>
                <w:szCs w:val="20"/>
              </w:rPr>
            </w:pPr>
          </w:p>
        </w:tc>
      </w:tr>
      <w:tr w:rsidR="008132D6" w:rsidRPr="008132D6" w:rsidTr="004C0FF5">
        <w:trPr>
          <w:trHeight w:val="17"/>
        </w:trPr>
        <w:tc>
          <w:tcPr>
            <w:tcW w:w="1764" w:type="dxa"/>
          </w:tcPr>
          <w:p w:rsidR="008132D6" w:rsidRPr="008C5290" w:rsidRDefault="008132D6" w:rsidP="004C0FF5">
            <w:pPr>
              <w:spacing w:line="259" w:lineRule="auto"/>
              <w:jc w:val="both"/>
              <w:rPr>
                <w:sz w:val="20"/>
                <w:szCs w:val="20"/>
              </w:rPr>
            </w:pPr>
            <w:r w:rsidRPr="008C5290">
              <w:rPr>
                <w:sz w:val="20"/>
                <w:szCs w:val="20"/>
              </w:rPr>
              <w:t>D</w:t>
            </w:r>
          </w:p>
        </w:tc>
        <w:tc>
          <w:tcPr>
            <w:tcW w:w="1467" w:type="dxa"/>
          </w:tcPr>
          <w:p w:rsidR="008132D6" w:rsidRPr="008C5290" w:rsidRDefault="008132D6" w:rsidP="004C0FF5">
            <w:pPr>
              <w:spacing w:line="259" w:lineRule="auto"/>
              <w:jc w:val="both"/>
              <w:rPr>
                <w:sz w:val="20"/>
                <w:szCs w:val="20"/>
              </w:rPr>
            </w:pPr>
          </w:p>
        </w:tc>
        <w:tc>
          <w:tcPr>
            <w:tcW w:w="1764" w:type="dxa"/>
          </w:tcPr>
          <w:p w:rsidR="008132D6" w:rsidRPr="008C5290" w:rsidRDefault="008132D6" w:rsidP="004C0FF5">
            <w:pPr>
              <w:spacing w:line="259" w:lineRule="auto"/>
              <w:jc w:val="both"/>
              <w:rPr>
                <w:sz w:val="20"/>
                <w:szCs w:val="20"/>
              </w:rPr>
            </w:pPr>
          </w:p>
        </w:tc>
      </w:tr>
    </w:tbl>
    <w:p w:rsidR="004C0FF5" w:rsidRDefault="004C0FF5" w:rsidP="00E84E74">
      <w:pPr>
        <w:jc w:val="both"/>
        <w:rPr>
          <w:sz w:val="21"/>
          <w:szCs w:val="21"/>
        </w:rPr>
      </w:pPr>
    </w:p>
    <w:p w:rsidR="00740F9D" w:rsidRPr="00E84E74" w:rsidRDefault="00740F9D" w:rsidP="00E84E74">
      <w:pPr>
        <w:jc w:val="both"/>
        <w:rPr>
          <w:sz w:val="21"/>
          <w:szCs w:val="21"/>
        </w:rPr>
      </w:pPr>
      <w:r w:rsidRPr="00E84E74">
        <w:rPr>
          <w:sz w:val="21"/>
          <w:szCs w:val="21"/>
        </w:rPr>
        <w:tab/>
        <w:t>Artículo 2.- Disponer la publicación de la presente Resolución Ministerial en el Portal Institucional del Ministerio de la Producción (</w:t>
      </w:r>
      <w:proofErr w:type="spellStart"/>
      <w:r w:rsidRPr="00E84E74">
        <w:rPr>
          <w:sz w:val="21"/>
          <w:szCs w:val="21"/>
        </w:rPr>
        <w:t>www.produce.gob.pe</w:t>
      </w:r>
      <w:proofErr w:type="spellEnd"/>
      <w:r w:rsidRPr="00E84E74">
        <w:rPr>
          <w:sz w:val="21"/>
          <w:szCs w:val="21"/>
        </w:rPr>
        <w:t>), el mismo día de su publicación en el Diario Oficial El Peruano.</w:t>
      </w:r>
    </w:p>
    <w:sectPr w:rsidR="00740F9D" w:rsidRPr="00E84E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9D"/>
    <w:rsid w:val="00146190"/>
    <w:rsid w:val="001B26F7"/>
    <w:rsid w:val="004C0FF5"/>
    <w:rsid w:val="005454CA"/>
    <w:rsid w:val="00740F9D"/>
    <w:rsid w:val="008132D6"/>
    <w:rsid w:val="008C5290"/>
    <w:rsid w:val="008D4F22"/>
    <w:rsid w:val="00B72816"/>
    <w:rsid w:val="00E84E7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4FBB5-7C16-4334-B2EC-977A4452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D6"/>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8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Bravo Velez de Villa</dc:creator>
  <cp:keywords/>
  <dc:description/>
  <cp:lastModifiedBy>Luis Enrique Bravo Velez de Villa</cp:lastModifiedBy>
  <cp:revision>2</cp:revision>
  <dcterms:created xsi:type="dcterms:W3CDTF">2018-03-09T16:55:00Z</dcterms:created>
  <dcterms:modified xsi:type="dcterms:W3CDTF">2018-03-09T17:25:00Z</dcterms:modified>
</cp:coreProperties>
</file>